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309A" w14:textId="683EC4CF" w:rsidR="000017C2" w:rsidRPr="00A30362" w:rsidRDefault="00E63496" w:rsidP="00E63496">
      <w:pPr>
        <w:pStyle w:val="Heading2"/>
        <w:jc w:val="center"/>
        <w:rPr>
          <w:rFonts w:ascii="Arial" w:hAnsi="Arial" w:cs="Arial"/>
          <w:sz w:val="18"/>
          <w:szCs w:val="18"/>
          <w:u w:val="single"/>
        </w:rPr>
      </w:pPr>
      <w:r w:rsidRPr="00A30362">
        <w:rPr>
          <w:rFonts w:ascii="Arial" w:hAnsi="Arial" w:cs="Arial"/>
          <w:sz w:val="18"/>
          <w:szCs w:val="18"/>
          <w:u w:val="single"/>
        </w:rPr>
        <w:t>DISCLAIMER</w:t>
      </w:r>
    </w:p>
    <w:p w14:paraId="04CC7245" w14:textId="4CFCA90C" w:rsidR="00AC42A0" w:rsidRPr="00A30362" w:rsidRDefault="00AC42A0" w:rsidP="009833A4">
      <w:pPr>
        <w:pStyle w:val="Heading2"/>
        <w:jc w:val="both"/>
        <w:rPr>
          <w:rFonts w:ascii="Arial" w:hAnsi="Arial" w:cs="Arial"/>
          <w:sz w:val="18"/>
          <w:szCs w:val="18"/>
        </w:rPr>
      </w:pPr>
      <w:r w:rsidRPr="00A30362">
        <w:rPr>
          <w:rFonts w:ascii="Arial" w:hAnsi="Arial" w:cs="Arial"/>
          <w:sz w:val="18"/>
          <w:szCs w:val="18"/>
        </w:rPr>
        <w:t xml:space="preserve">Artikel 1: Allgemeines </w:t>
      </w:r>
    </w:p>
    <w:p w14:paraId="01D336E7" w14:textId="32804C7F" w:rsidR="00AC42A0" w:rsidRPr="00A30362" w:rsidRDefault="00AC42A0" w:rsidP="009833A4">
      <w:pPr>
        <w:pStyle w:val="Heading2"/>
        <w:jc w:val="both"/>
        <w:rPr>
          <w:rFonts w:ascii="Arial" w:hAnsi="Arial" w:cs="Arial"/>
          <w:b w:val="0"/>
          <w:bCs w:val="0"/>
          <w:sz w:val="18"/>
          <w:szCs w:val="18"/>
        </w:rPr>
      </w:pPr>
      <w:r w:rsidRPr="00A30362">
        <w:rPr>
          <w:rFonts w:ascii="Arial" w:hAnsi="Arial" w:cs="Arial"/>
          <w:b w:val="0"/>
          <w:sz w:val="18"/>
          <w:szCs w:val="18"/>
        </w:rPr>
        <w:t xml:space="preserve">Diese Website wurde von SILBLOXX mit Sitz in 8810 </w:t>
      </w:r>
      <w:proofErr w:type="spellStart"/>
      <w:r w:rsidRPr="00A30362">
        <w:rPr>
          <w:rFonts w:ascii="Arial" w:hAnsi="Arial" w:cs="Arial"/>
          <w:b w:val="0"/>
          <w:sz w:val="18"/>
          <w:szCs w:val="18"/>
        </w:rPr>
        <w:t>Lichtervelde</w:t>
      </w:r>
      <w:proofErr w:type="spellEnd"/>
      <w:r w:rsidRPr="00A30362">
        <w:rPr>
          <w:rFonts w:ascii="Arial" w:hAnsi="Arial" w:cs="Arial"/>
          <w:b w:val="0"/>
          <w:sz w:val="18"/>
          <w:szCs w:val="18"/>
        </w:rPr>
        <w:t xml:space="preserve"> (Belgien), </w:t>
      </w:r>
      <w:proofErr w:type="spellStart"/>
      <w:r w:rsidRPr="00A30362">
        <w:rPr>
          <w:rFonts w:ascii="Arial" w:hAnsi="Arial" w:cs="Arial"/>
          <w:b w:val="0"/>
          <w:sz w:val="18"/>
          <w:szCs w:val="18"/>
        </w:rPr>
        <w:t>Industrielaan</w:t>
      </w:r>
      <w:proofErr w:type="spellEnd"/>
      <w:r w:rsidRPr="00A30362">
        <w:rPr>
          <w:rFonts w:ascii="Arial" w:hAnsi="Arial" w:cs="Arial"/>
          <w:b w:val="0"/>
          <w:sz w:val="18"/>
          <w:szCs w:val="18"/>
        </w:rPr>
        <w:t xml:space="preserve"> 17 </w:t>
      </w:r>
      <w:proofErr w:type="spellStart"/>
      <w:r w:rsidRPr="00A30362">
        <w:rPr>
          <w:rFonts w:ascii="Arial" w:hAnsi="Arial" w:cs="Arial"/>
          <w:b w:val="0"/>
          <w:sz w:val="18"/>
          <w:szCs w:val="18"/>
        </w:rPr>
        <w:t>bus</w:t>
      </w:r>
      <w:proofErr w:type="spellEnd"/>
      <w:r w:rsidRPr="00A30362">
        <w:rPr>
          <w:rFonts w:ascii="Arial" w:hAnsi="Arial" w:cs="Arial"/>
          <w:b w:val="0"/>
          <w:sz w:val="18"/>
          <w:szCs w:val="18"/>
        </w:rPr>
        <w:t xml:space="preserve"> A, und mit KBO-Unternehmensnummer 0444.606.428 entworfen und wird von ihr verwaltet.</w:t>
      </w:r>
    </w:p>
    <w:p w14:paraId="2B83EAA8" w14:textId="6B655D72" w:rsidR="00AC42A0" w:rsidRPr="00A30362" w:rsidRDefault="00AC42A0" w:rsidP="009833A4">
      <w:pPr>
        <w:pStyle w:val="Heading2"/>
        <w:jc w:val="both"/>
        <w:rPr>
          <w:rFonts w:ascii="Arial" w:hAnsi="Arial" w:cs="Arial"/>
          <w:sz w:val="18"/>
          <w:szCs w:val="18"/>
        </w:rPr>
      </w:pPr>
      <w:r w:rsidRPr="00A30362">
        <w:rPr>
          <w:rFonts w:ascii="Arial" w:hAnsi="Arial" w:cs="Arial"/>
          <w:sz w:val="18"/>
          <w:szCs w:val="18"/>
        </w:rPr>
        <w:t>Artikel 2: Inhalt</w:t>
      </w:r>
    </w:p>
    <w:p w14:paraId="0522AB4B" w14:textId="1F8C6CB3" w:rsidR="00243733" w:rsidRPr="00A30362" w:rsidRDefault="00243733"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Die Informationen auf dieser Website werden von SILBLOXX als allgemeiner Leitfaden erteilt und sollen dem Nutzer allgemeine Informationen über die Dienstleistungen und Produkte von SILBLOXX liefern. </w:t>
      </w:r>
    </w:p>
    <w:p w14:paraId="598BF17B" w14:textId="584262A8" w:rsidR="009833A4" w:rsidRPr="00A30362" w:rsidRDefault="00AB38B4"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SILBLOXX geht bei der Erstellung dieser Website mit großer Sorgfalt vor. Aufgrund der Natur elektronischer Kommunikationsprozesse garantiert SILBLOXX nicht, dass die Website ununterbrochen, ohne Verzögerung, ohne Fehler, ohne Auslassungen oder ohne Viren funktioniert. Daher werden die Informationen als solche ohne jegliche ausdrückliche oder stillschweigende Garantie zur Verfügung gestellt; dazu zählt auch eine Garantie in Bezug auf Genauigkeit, Aktualität und Vollständigkeit. </w:t>
      </w:r>
      <w:r w:rsidRPr="00A30362">
        <w:rPr>
          <w:rFonts w:ascii="Arial" w:hAnsi="Arial" w:cs="Arial"/>
          <w:color w:val="404040"/>
          <w:sz w:val="18"/>
          <w:szCs w:val="18"/>
        </w:rPr>
        <w:t xml:space="preserve">Wir bemühen uns jederzeit um eine aktuelle und möglichst genaue Informationserteilung. Wenn SILBLOXX von Fehlern oder unvollständigen Daten erfährt, werden wir versuchen, diese so schnell wie möglich zu korrigieren. </w:t>
      </w:r>
    </w:p>
    <w:p w14:paraId="01589FBF" w14:textId="5B5AD49D" w:rsidR="00B447B3" w:rsidRPr="00A30362" w:rsidRDefault="00B447B3"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404040"/>
          <w:sz w:val="18"/>
          <w:szCs w:val="18"/>
        </w:rPr>
        <w:t xml:space="preserve">SILBLOXX übernimmt jedoch keine Verantwortung oder Haftung für die Informationen auf dieser Website, soweit dies nach geltendem Recht zulässig ist. In keinem Fall haftet SILBLOXX </w:t>
      </w:r>
      <w:r w:rsidRPr="00A30362">
        <w:rPr>
          <w:rFonts w:ascii="Arial" w:hAnsi="Arial" w:cs="Arial"/>
          <w:color w:val="333333"/>
          <w:sz w:val="18"/>
          <w:szCs w:val="18"/>
        </w:rPr>
        <w:t xml:space="preserve">für unmittelbare, mittelbare, zufällige, besondere, exemplarische, strafbewehrte Folgeschäden oder andere Schäden einschließlich einer Haftung für Nutzungs-, Daten- oder Gewinnverluste (Aufzählung nicht limitativ), dies unabhängig von der Form der betreffenden Handlung, unter anderem (Aufzählung nicht limitativ) auf der Grundlage eines Vertrages oder aufgrund von Fahrlässigkeit oder anderer unerlaubter Handlungen, die sich aus der Website/Webplattform, den Inhalten auf der Website/Webplattform oder der Zugänglichkeit durch die Nutzung der Website/Webplattform oder aus einer Vervielfältigung, Wiedergabe oder einer sonstigen diesbezüglichen Nutzung ergeben beziehungsweise damit zusammenhängen. </w:t>
      </w:r>
    </w:p>
    <w:p w14:paraId="469B7AE7" w14:textId="71D884B6" w:rsidR="00675E85" w:rsidRPr="00A30362" w:rsidRDefault="00675E85"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SILBLOXX schließt jegliche Haftung für unmittelbare oder mittelbare Schäden gleich welcher Art aus, die sich aus der Nutzung dieser Website oder der vorübergehenden Unmöglichkeit, diese Website zu konsultieren, ergeben oder in irgendeiner Weise damit zusammenhängen, soweit dies nach geltendem Recht zulässig ist. </w:t>
      </w:r>
    </w:p>
    <w:p w14:paraId="15246FB6" w14:textId="77777777" w:rsidR="00BC05FB" w:rsidRPr="00A30362" w:rsidRDefault="00BC05FB" w:rsidP="009833A4">
      <w:pPr>
        <w:shd w:val="clear" w:color="auto" w:fill="FFFFFF"/>
        <w:spacing w:after="0" w:line="240" w:lineRule="auto"/>
        <w:jc w:val="both"/>
        <w:textAlignment w:val="baseline"/>
        <w:rPr>
          <w:rFonts w:ascii="Arial" w:eastAsia="Times New Roman" w:hAnsi="Arial" w:cs="Arial"/>
          <w:color w:val="404040"/>
          <w:sz w:val="18"/>
          <w:szCs w:val="18"/>
        </w:rPr>
      </w:pPr>
    </w:p>
    <w:p w14:paraId="3805C5F4" w14:textId="1B641089" w:rsidR="00243733" w:rsidRPr="00A30362" w:rsidRDefault="00413C4B" w:rsidP="009833A4">
      <w:pPr>
        <w:shd w:val="clear" w:color="auto" w:fill="FFFFFF"/>
        <w:spacing w:after="0" w:line="240" w:lineRule="auto"/>
        <w:jc w:val="both"/>
        <w:textAlignment w:val="baseline"/>
        <w:rPr>
          <w:rFonts w:ascii="Arial" w:eastAsia="Times New Roman" w:hAnsi="Arial" w:cs="Arial"/>
          <w:b/>
          <w:bCs/>
          <w:color w:val="333333"/>
          <w:sz w:val="18"/>
          <w:szCs w:val="18"/>
          <w:bdr w:val="none" w:sz="0" w:space="0" w:color="auto" w:frame="1"/>
        </w:rPr>
      </w:pPr>
      <w:commentRangeStart w:id="0"/>
      <w:r w:rsidRPr="00A30362">
        <w:rPr>
          <w:rFonts w:ascii="Arial" w:hAnsi="Arial" w:cs="Arial"/>
          <w:b/>
          <w:color w:val="333333"/>
          <w:sz w:val="18"/>
          <w:szCs w:val="18"/>
          <w:bdr w:val="none" w:sz="0" w:space="0" w:color="auto" w:frame="1"/>
        </w:rPr>
        <w:t>Artikel 3: Geistige Eigentumsrechte</w:t>
      </w:r>
      <w:commentRangeEnd w:id="0"/>
      <w:r w:rsidR="00AB38B4" w:rsidRPr="00A30362">
        <w:rPr>
          <w:rStyle w:val="CommentReference"/>
          <w:rFonts w:ascii="Arial" w:hAnsi="Arial" w:cs="Arial"/>
          <w:sz w:val="18"/>
          <w:szCs w:val="18"/>
        </w:rPr>
        <w:commentReference w:id="0"/>
      </w:r>
    </w:p>
    <w:p w14:paraId="60C8908A" w14:textId="073F5DE1" w:rsidR="00413C4B" w:rsidRPr="00A30362" w:rsidRDefault="00413C4B"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bdr w:val="none" w:sz="0" w:space="0" w:color="auto" w:frame="1"/>
        </w:rPr>
        <w:t>Die</w:t>
      </w:r>
      <w:r w:rsidRPr="00A30362">
        <w:rPr>
          <w:rFonts w:ascii="Arial" w:hAnsi="Arial" w:cs="Arial"/>
          <w:color w:val="333333"/>
          <w:sz w:val="18"/>
          <w:szCs w:val="18"/>
        </w:rPr>
        <w:t xml:space="preserve"> Inhalte der Website (einschließlich des Layouts, der Bilder, Logos, Texte, Skripte, Konzepte, Ideen, Methoden, Verfahren, Prozesse, des Know-hows, der Techniken, Programme, Veröffentlichungen, Modelle, Produktvorlagen, Technologien, Software, Designs, Kunstwerke, Grafiken und Informationen, die auf dieser Website enthalten oder beschrieben sind) sind durch alle möglichen Rechte an geistigem Eigentum oder andere Rechte geschützt; dazu zählen unter anderem Urheberrechte, Markenrechte, Zeichnungen, Modelle, Patente und Datenbanken, die Eigentum von SILBLOXX sind. Jegliche unerlaubte Nutzung, etwa in Form von Kopien, Anpassungen, Übersetzungen, Bearbeitungen, Änderungen (eines Teils) der Website in welcher Form oder Art und Weise auch immer, ist ohne vorherige schriftliche Zustimmung von SILBLOXX nicht gestattet. </w:t>
      </w:r>
    </w:p>
    <w:p w14:paraId="42EBB5F9" w14:textId="6C8F6186" w:rsidR="00413C4B" w:rsidRPr="00A30362" w:rsidRDefault="00413C4B"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Jede Verletzung der oben genannten Rechte an geistigem Eigentum kann zivil- oder strafrechtlich verfolgt werden. </w:t>
      </w:r>
    </w:p>
    <w:p w14:paraId="539D54A7" w14:textId="55C577FD" w:rsidR="00413C4B" w:rsidRPr="00A30362" w:rsidRDefault="00413C4B" w:rsidP="009833A4">
      <w:pPr>
        <w:shd w:val="clear" w:color="auto" w:fill="FFFFFF"/>
        <w:spacing w:before="105" w:after="105" w:line="240" w:lineRule="auto"/>
        <w:jc w:val="both"/>
        <w:textAlignment w:val="baseline"/>
        <w:rPr>
          <w:rFonts w:ascii="Arial" w:eastAsia="Times New Roman" w:hAnsi="Arial" w:cs="Arial"/>
          <w:color w:val="333333"/>
          <w:sz w:val="18"/>
          <w:szCs w:val="18"/>
        </w:rPr>
      </w:pPr>
    </w:p>
    <w:p w14:paraId="1398FF47" w14:textId="66223C20" w:rsidR="00413C4B" w:rsidRPr="00A30362" w:rsidRDefault="00413C4B"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SILBLOXX gestattet dem Besucher dieser Website das Kopieren, Ausdrucken und Verwenden der hierin enthaltenen Informationen, dies unter der Voraussetzung, dass diese Daten lediglich zu Informationszwecken für den Besucher und unter Ausschluss jeder weiteren Vervielfältigung, Verbreitung, Kommerzialisierung oder wirtschaftlichen Verwertung durch Dritte verwendet werden. </w:t>
      </w:r>
    </w:p>
    <w:p w14:paraId="4A697C07" w14:textId="77777777" w:rsidR="00413C4B" w:rsidRPr="00A30362" w:rsidRDefault="00413C4B" w:rsidP="009833A4">
      <w:pPr>
        <w:shd w:val="clear" w:color="auto" w:fill="FFFFFF"/>
        <w:spacing w:before="105" w:after="105" w:line="240" w:lineRule="auto"/>
        <w:jc w:val="both"/>
        <w:textAlignment w:val="baseline"/>
        <w:rPr>
          <w:rFonts w:ascii="Arial" w:eastAsia="Times New Roman" w:hAnsi="Arial" w:cs="Arial"/>
          <w:color w:val="333333"/>
          <w:sz w:val="18"/>
          <w:szCs w:val="18"/>
        </w:rPr>
      </w:pPr>
    </w:p>
    <w:p w14:paraId="0E23901D" w14:textId="71D68827" w:rsidR="00243733" w:rsidRPr="00A30362" w:rsidRDefault="00413C4B" w:rsidP="009833A4">
      <w:pPr>
        <w:shd w:val="clear" w:color="auto" w:fill="FFFFFF"/>
        <w:spacing w:after="0" w:line="240" w:lineRule="auto"/>
        <w:jc w:val="both"/>
        <w:textAlignment w:val="baseline"/>
        <w:rPr>
          <w:rFonts w:ascii="Arial" w:eastAsia="Times New Roman" w:hAnsi="Arial" w:cs="Arial"/>
          <w:color w:val="333333"/>
          <w:sz w:val="18"/>
          <w:szCs w:val="18"/>
        </w:rPr>
      </w:pPr>
      <w:r w:rsidRPr="00A30362">
        <w:rPr>
          <w:rFonts w:ascii="Arial" w:hAnsi="Arial" w:cs="Arial"/>
          <w:b/>
          <w:color w:val="333333"/>
          <w:sz w:val="18"/>
          <w:szCs w:val="18"/>
          <w:bdr w:val="none" w:sz="0" w:space="0" w:color="auto" w:frame="1"/>
        </w:rPr>
        <w:t>Artikel 4: Links</w:t>
      </w:r>
    </w:p>
    <w:p w14:paraId="2AF1813D" w14:textId="48142E40" w:rsidR="00B447B3" w:rsidRPr="00A30362" w:rsidRDefault="00AC42A0" w:rsidP="00413C4B">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A30362">
        <w:rPr>
          <w:rFonts w:ascii="Arial" w:hAnsi="Arial" w:cs="Arial"/>
          <w:color w:val="333333"/>
          <w:sz w:val="18"/>
          <w:szCs w:val="18"/>
        </w:rPr>
        <w:t xml:space="preserve">Werden Links zu anderen Websites eingerichtet, zum Beispiel über Suchtools, geschieht dies lediglich zur bequemeren Handhabung durch unsere Nutzer. </w:t>
      </w:r>
      <w:r w:rsidR="009833A4" w:rsidRPr="00A30362">
        <w:rPr>
          <w:rFonts w:ascii="Arial" w:hAnsi="Arial" w:cs="Arial"/>
          <w:color w:val="404040"/>
          <w:sz w:val="18"/>
          <w:szCs w:val="18"/>
        </w:rPr>
        <w:t>SILBLOXX</w:t>
      </w:r>
      <w:r w:rsidRPr="00A30362">
        <w:rPr>
          <w:rFonts w:ascii="Arial" w:hAnsi="Arial" w:cs="Arial"/>
          <w:color w:val="333333"/>
          <w:sz w:val="18"/>
          <w:szCs w:val="18"/>
        </w:rPr>
        <w:t xml:space="preserve"> hat keine Kontrolle über diese Websites und ist nicht verantwortlich für deren Inhalt oder Existenz. </w:t>
      </w:r>
      <w:r w:rsidR="00413C4B" w:rsidRPr="00A30362">
        <w:rPr>
          <w:rFonts w:ascii="Arial" w:hAnsi="Arial" w:cs="Arial"/>
          <w:color w:val="404040"/>
          <w:sz w:val="18"/>
          <w:szCs w:val="18"/>
        </w:rPr>
        <w:t>Jeder, der diese Links benutzt, ist sich der Tatsache bewusst, dass SILBLOXX in keiner Weise in der Lage ist, die Funktionsweise und/oder den Inhalt des auf diesen Websites angebotenen Materials zu kontrollieren. SILBLOXX haftet daher nicht für deren Inhalt oder für Fehler in Website-Adressen oder Domänennamen, zu denen die Links führen.</w:t>
      </w:r>
    </w:p>
    <w:p w14:paraId="0DF7DB14" w14:textId="77777777" w:rsidR="00B447B3" w:rsidRPr="00A30362" w:rsidRDefault="00B447B3" w:rsidP="009833A4">
      <w:pPr>
        <w:shd w:val="clear" w:color="auto" w:fill="FFFFFF"/>
        <w:spacing w:before="100" w:beforeAutospacing="1" w:after="100" w:afterAutospacing="1" w:line="240" w:lineRule="auto"/>
        <w:jc w:val="both"/>
        <w:rPr>
          <w:rFonts w:ascii="Arial" w:eastAsia="Times New Roman" w:hAnsi="Arial" w:cs="Arial"/>
          <w:color w:val="404040"/>
          <w:sz w:val="18"/>
          <w:szCs w:val="18"/>
        </w:rPr>
      </w:pPr>
      <w:r w:rsidRPr="00A30362">
        <w:rPr>
          <w:rFonts w:ascii="Arial" w:hAnsi="Arial" w:cs="Arial"/>
          <w:color w:val="404040"/>
          <w:sz w:val="18"/>
          <w:szCs w:val="18"/>
        </w:rPr>
        <w:t>Wenn Besucher der SILBLOXX-Websites einem Link zu einer externen Website folgen, gelten für sie die Cookie-, Datenschutz- und Rechtspolitik dieser externen Website.</w:t>
      </w:r>
    </w:p>
    <w:p w14:paraId="789C408A" w14:textId="76F8F9C9" w:rsidR="00B447B3" w:rsidRPr="00A30362" w:rsidRDefault="00B447B3" w:rsidP="009833A4">
      <w:pPr>
        <w:shd w:val="clear" w:color="auto" w:fill="FFFFFF"/>
        <w:spacing w:before="100" w:beforeAutospacing="1" w:after="100" w:afterAutospacing="1" w:line="240" w:lineRule="auto"/>
        <w:jc w:val="both"/>
        <w:rPr>
          <w:rFonts w:ascii="Arial" w:eastAsia="Times New Roman" w:hAnsi="Arial" w:cs="Arial"/>
          <w:color w:val="404040"/>
          <w:sz w:val="18"/>
          <w:szCs w:val="18"/>
        </w:rPr>
      </w:pPr>
      <w:r w:rsidRPr="00A30362">
        <w:rPr>
          <w:rFonts w:ascii="Arial" w:hAnsi="Arial" w:cs="Arial"/>
          <w:color w:val="404040"/>
          <w:sz w:val="18"/>
          <w:szCs w:val="18"/>
        </w:rPr>
        <w:lastRenderedPageBreak/>
        <w:t>Ob die externe Website die geltenden Datenschutz- und Zugänglichkeitsanforderungen erfüllt, entzieht sich der Kontrolle von SILBLOXX, und liegt ausdrücklich in der Verantwortung dieser externen Website.</w:t>
      </w:r>
    </w:p>
    <w:p w14:paraId="566909EB" w14:textId="0591E350" w:rsidR="00B447B3" w:rsidRPr="00A30362" w:rsidRDefault="00413C4B" w:rsidP="009833A4">
      <w:pPr>
        <w:shd w:val="clear" w:color="auto" w:fill="FFFFFF"/>
        <w:spacing w:before="105" w:after="105" w:line="240" w:lineRule="auto"/>
        <w:jc w:val="both"/>
        <w:textAlignment w:val="baseline"/>
        <w:rPr>
          <w:rFonts w:ascii="Arial" w:eastAsia="Times New Roman" w:hAnsi="Arial" w:cs="Arial"/>
          <w:b/>
          <w:bCs/>
          <w:color w:val="333333"/>
          <w:sz w:val="18"/>
          <w:szCs w:val="18"/>
        </w:rPr>
      </w:pPr>
      <w:r w:rsidRPr="00A30362">
        <w:rPr>
          <w:rFonts w:ascii="Arial" w:hAnsi="Arial" w:cs="Arial"/>
          <w:b/>
          <w:color w:val="333333"/>
          <w:sz w:val="18"/>
          <w:szCs w:val="18"/>
        </w:rPr>
        <w:t>Artikel 5: Datenschutz</w:t>
      </w:r>
    </w:p>
    <w:p w14:paraId="48CA2A63" w14:textId="7D8DC16A" w:rsidR="00413C4B" w:rsidRPr="00A30362" w:rsidRDefault="00675E85"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 xml:space="preserve">Im Rahmen der Nutzung unserer Website können Ihre personenbezogenen Daten von SILBLOXX verarbeitet werden. Für weitere Informationen dazu verweisen wir auf unsere </w:t>
      </w:r>
      <w:commentRangeStart w:id="1"/>
      <w:r w:rsidRPr="00A30362">
        <w:rPr>
          <w:rFonts w:ascii="Arial" w:hAnsi="Arial" w:cs="Arial"/>
          <w:color w:val="333333"/>
          <w:sz w:val="18"/>
          <w:szCs w:val="18"/>
        </w:rPr>
        <w:t xml:space="preserve">Datenschutzpolitik </w:t>
      </w:r>
      <w:commentRangeEnd w:id="1"/>
      <w:r w:rsidRPr="00A30362">
        <w:rPr>
          <w:rStyle w:val="CommentReference"/>
          <w:rFonts w:ascii="Arial" w:hAnsi="Arial" w:cs="Arial"/>
          <w:sz w:val="18"/>
          <w:szCs w:val="18"/>
        </w:rPr>
        <w:commentReference w:id="1"/>
      </w:r>
      <w:r w:rsidRPr="00A30362">
        <w:rPr>
          <w:rFonts w:ascii="Arial" w:hAnsi="Arial" w:cs="Arial"/>
          <w:color w:val="333333"/>
          <w:sz w:val="18"/>
          <w:szCs w:val="18"/>
        </w:rPr>
        <w:t xml:space="preserve">und auf unsere </w:t>
      </w:r>
      <w:commentRangeStart w:id="2"/>
      <w:r w:rsidRPr="00A30362">
        <w:rPr>
          <w:rFonts w:ascii="Arial" w:hAnsi="Arial" w:cs="Arial"/>
          <w:color w:val="333333"/>
          <w:sz w:val="18"/>
          <w:szCs w:val="18"/>
        </w:rPr>
        <w:t>Cookie-Richtlinie</w:t>
      </w:r>
      <w:commentRangeEnd w:id="2"/>
      <w:r w:rsidRPr="00A30362">
        <w:rPr>
          <w:rStyle w:val="CommentReference"/>
          <w:rFonts w:ascii="Arial" w:hAnsi="Arial" w:cs="Arial"/>
          <w:sz w:val="18"/>
          <w:szCs w:val="18"/>
        </w:rPr>
        <w:commentReference w:id="2"/>
      </w:r>
      <w:r w:rsidRPr="00A30362">
        <w:rPr>
          <w:rFonts w:ascii="Arial" w:hAnsi="Arial" w:cs="Arial"/>
          <w:color w:val="333333"/>
          <w:sz w:val="18"/>
          <w:szCs w:val="18"/>
        </w:rPr>
        <w:t xml:space="preserve">. </w:t>
      </w:r>
    </w:p>
    <w:p w14:paraId="3C810102" w14:textId="0937C30E" w:rsidR="00B447B3" w:rsidRPr="00A30362" w:rsidRDefault="00B447B3" w:rsidP="009833A4">
      <w:pPr>
        <w:shd w:val="clear" w:color="auto" w:fill="FFFFFF"/>
        <w:spacing w:before="105" w:after="105" w:line="240" w:lineRule="auto"/>
        <w:jc w:val="both"/>
        <w:textAlignment w:val="baseline"/>
        <w:rPr>
          <w:rFonts w:ascii="Arial" w:eastAsia="Times New Roman" w:hAnsi="Arial" w:cs="Arial"/>
          <w:color w:val="333333"/>
          <w:sz w:val="18"/>
          <w:szCs w:val="18"/>
        </w:rPr>
      </w:pPr>
    </w:p>
    <w:p w14:paraId="21910D9C" w14:textId="765B0A10" w:rsidR="00675E85" w:rsidRPr="00A30362" w:rsidRDefault="00675E85" w:rsidP="009833A4">
      <w:pPr>
        <w:shd w:val="clear" w:color="auto" w:fill="FFFFFF"/>
        <w:spacing w:before="105" w:after="105" w:line="240" w:lineRule="auto"/>
        <w:jc w:val="both"/>
        <w:textAlignment w:val="baseline"/>
        <w:rPr>
          <w:rFonts w:ascii="Arial" w:eastAsia="Times New Roman" w:hAnsi="Arial" w:cs="Arial"/>
          <w:b/>
          <w:bCs/>
          <w:color w:val="333333"/>
          <w:sz w:val="18"/>
          <w:szCs w:val="18"/>
        </w:rPr>
      </w:pPr>
      <w:r w:rsidRPr="00A30362">
        <w:rPr>
          <w:rFonts w:ascii="Arial" w:hAnsi="Arial" w:cs="Arial"/>
          <w:b/>
          <w:color w:val="333333"/>
          <w:sz w:val="18"/>
          <w:szCs w:val="18"/>
        </w:rPr>
        <w:t xml:space="preserve">Artikel 6: (Handels-)Marken  </w:t>
      </w:r>
    </w:p>
    <w:p w14:paraId="055C71BE" w14:textId="30E88821" w:rsidR="00243733" w:rsidRPr="00A30362" w:rsidRDefault="009833A4" w:rsidP="009833A4">
      <w:p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404040"/>
          <w:sz w:val="18"/>
          <w:szCs w:val="18"/>
        </w:rPr>
        <w:t>SILBLOXX</w:t>
      </w:r>
      <w:r w:rsidRPr="00A30362">
        <w:rPr>
          <w:rFonts w:ascii="Arial" w:hAnsi="Arial" w:cs="Arial"/>
          <w:color w:val="333333"/>
          <w:sz w:val="18"/>
          <w:szCs w:val="18"/>
        </w:rPr>
        <w:t xml:space="preserve"> ist verpflichtet, ihren Ruf und ihre (Handels-)Marken zu schützen, und behält sich das Recht vor, die Beseitigung eines jeden Links zu dieser Website zu verlangen. Die folgenden Web-Link-Aktivitäten werden ausdrücklich von </w:t>
      </w:r>
      <w:r w:rsidRPr="00A30362">
        <w:rPr>
          <w:rFonts w:ascii="Arial" w:hAnsi="Arial" w:cs="Arial"/>
          <w:color w:val="404040"/>
          <w:sz w:val="18"/>
          <w:szCs w:val="18"/>
        </w:rPr>
        <w:t>SILBLOXX</w:t>
      </w:r>
      <w:r w:rsidRPr="00A30362">
        <w:rPr>
          <w:rFonts w:ascii="Arial" w:hAnsi="Arial" w:cs="Arial"/>
          <w:color w:val="333333"/>
          <w:sz w:val="18"/>
          <w:szCs w:val="18"/>
        </w:rPr>
        <w:t xml:space="preserve"> untersagt und können eine Verletzung der (Handels-)Marke, des Urheberrechts oder anderer geistiger Eigentumsrechte darstellen:</w:t>
      </w:r>
    </w:p>
    <w:p w14:paraId="46844B42" w14:textId="77777777" w:rsidR="00243733" w:rsidRPr="00A30362" w:rsidRDefault="00243733" w:rsidP="009833A4">
      <w:pPr>
        <w:numPr>
          <w:ilvl w:val="0"/>
          <w:numId w:val="5"/>
        </w:num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Links, die die unerlaubte Verwendung unseres Logos beinhalten;</w:t>
      </w:r>
    </w:p>
    <w:p w14:paraId="5C47F685" w14:textId="77777777" w:rsidR="00243733" w:rsidRPr="00A30362" w:rsidRDefault="00243733" w:rsidP="009833A4">
      <w:pPr>
        <w:numPr>
          <w:ilvl w:val="0"/>
          <w:numId w:val="5"/>
        </w:numPr>
        <w:shd w:val="clear" w:color="auto" w:fill="FFFFFF"/>
        <w:spacing w:before="105" w:after="105" w:line="240" w:lineRule="auto"/>
        <w:jc w:val="both"/>
        <w:textAlignment w:val="baseline"/>
        <w:rPr>
          <w:rFonts w:ascii="Arial" w:eastAsia="Times New Roman" w:hAnsi="Arial" w:cs="Arial"/>
          <w:color w:val="333333"/>
          <w:sz w:val="18"/>
          <w:szCs w:val="18"/>
        </w:rPr>
      </w:pPr>
      <w:r w:rsidRPr="00A30362">
        <w:rPr>
          <w:rFonts w:ascii="Arial" w:hAnsi="Arial" w:cs="Arial"/>
          <w:color w:val="333333"/>
          <w:sz w:val="18"/>
          <w:szCs w:val="18"/>
        </w:rPr>
        <w:t>Eine Art von Link, mit der die URL verschleiert wird und/oder die die Homepage oder Seiten mit der Urheberrechtsangabe, dem Haftungsausschluss und der Erklärung zur Online-Politik des Unternehmens umgeht.</w:t>
      </w:r>
    </w:p>
    <w:p w14:paraId="7D3574C3" w14:textId="1D9E0120" w:rsidR="00D27BC5" w:rsidRPr="00A30362" w:rsidRDefault="00D27BC5" w:rsidP="009833A4">
      <w:pPr>
        <w:jc w:val="both"/>
        <w:rPr>
          <w:rFonts w:ascii="Arial" w:hAnsi="Arial" w:cs="Arial"/>
          <w:sz w:val="18"/>
          <w:szCs w:val="18"/>
        </w:rPr>
      </w:pPr>
    </w:p>
    <w:p w14:paraId="519DDF19" w14:textId="6BAD9757" w:rsidR="00675E85" w:rsidRPr="00A30362" w:rsidRDefault="00675E85" w:rsidP="009833A4">
      <w:pPr>
        <w:jc w:val="both"/>
        <w:rPr>
          <w:rFonts w:ascii="Arial" w:hAnsi="Arial" w:cs="Arial"/>
          <w:b/>
          <w:bCs/>
          <w:sz w:val="18"/>
          <w:szCs w:val="18"/>
        </w:rPr>
      </w:pPr>
      <w:r w:rsidRPr="00A30362">
        <w:rPr>
          <w:rFonts w:ascii="Arial" w:hAnsi="Arial" w:cs="Arial"/>
          <w:b/>
          <w:sz w:val="18"/>
          <w:szCs w:val="18"/>
        </w:rPr>
        <w:t xml:space="preserve">Artikel 7: Verschiedenes </w:t>
      </w:r>
    </w:p>
    <w:p w14:paraId="7D93E747" w14:textId="640F7F04" w:rsidR="00675E85" w:rsidRPr="00A30362" w:rsidRDefault="00675E85" w:rsidP="009833A4">
      <w:pPr>
        <w:jc w:val="both"/>
        <w:rPr>
          <w:rFonts w:ascii="Arial" w:hAnsi="Arial" w:cs="Arial"/>
          <w:sz w:val="18"/>
          <w:szCs w:val="18"/>
        </w:rPr>
      </w:pPr>
      <w:r w:rsidRPr="00A30362">
        <w:rPr>
          <w:rFonts w:ascii="Arial" w:hAnsi="Arial" w:cs="Arial"/>
          <w:sz w:val="18"/>
          <w:szCs w:val="18"/>
        </w:rPr>
        <w:t xml:space="preserve">Alle Streitigkeiten im Zusammenhang mit dieser Website unterliegen belgischem Recht. Die belgischen Gerichte sind für die Entscheidung in Streitfällen aller Art zuständig. SILBLOXX behält sich das Recht vor, die Bedingungen, Bestimmungen und Hinweise, unter denen Ihnen diese Website angeboten wird, zu ändern. </w:t>
      </w:r>
      <w:commentRangeStart w:id="3"/>
      <w:r w:rsidRPr="00A30362">
        <w:rPr>
          <w:rFonts w:ascii="Arial" w:hAnsi="Arial" w:cs="Arial"/>
          <w:sz w:val="18"/>
          <w:szCs w:val="18"/>
        </w:rPr>
        <w:t>Als Nutzer sind Sie daher verpflichtet, bei jedem Besuch der Website die allgemeinen Nutzungsbedingungen zu lesen.</w:t>
      </w:r>
      <w:commentRangeEnd w:id="3"/>
      <w:r w:rsidR="00562BD0" w:rsidRPr="00A30362">
        <w:rPr>
          <w:rStyle w:val="CommentReference"/>
          <w:rFonts w:ascii="Arial" w:hAnsi="Arial" w:cs="Arial"/>
          <w:sz w:val="18"/>
          <w:szCs w:val="18"/>
        </w:rPr>
        <w:commentReference w:id="3"/>
      </w:r>
    </w:p>
    <w:sectPr w:rsidR="00675E85" w:rsidRPr="00A3036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PMG LAW Belgium" w:date="2022-03-22T12:28:00Z" w:initials="KPMG">
    <w:p w14:paraId="05CFA12D" w14:textId="685C9CF8" w:rsidR="00AB38B4" w:rsidRPr="00443438" w:rsidRDefault="00AB38B4">
      <w:pPr>
        <w:pStyle w:val="CommentText"/>
        <w:rPr>
          <w:rFonts w:ascii="Times New Roman" w:hAnsi="Times New Roman" w:cs="Times New Roman"/>
        </w:rPr>
      </w:pPr>
      <w:r>
        <w:rPr>
          <w:rStyle w:val="CommentReference"/>
        </w:rPr>
        <w:annotationRef/>
      </w:r>
      <w:proofErr w:type="spellStart"/>
      <w:r w:rsidRPr="00443438">
        <w:rPr>
          <w:rFonts w:ascii="Times New Roman" w:hAnsi="Times New Roman" w:cs="Times New Roman"/>
        </w:rPr>
        <w:t>Desgevallend</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nog</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aan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te</w:t>
      </w:r>
      <w:proofErr w:type="spellEnd"/>
      <w:r w:rsidRPr="00443438">
        <w:rPr>
          <w:rFonts w:ascii="Times New Roman" w:hAnsi="Times New Roman" w:cs="Times New Roman"/>
        </w:rPr>
        <w:t xml:space="preserve"> passen </w:t>
      </w:r>
      <w:proofErr w:type="spellStart"/>
      <w:r w:rsidRPr="00443438">
        <w:rPr>
          <w:rFonts w:ascii="Times New Roman" w:hAnsi="Times New Roman" w:cs="Times New Roman"/>
        </w:rPr>
        <w:t>nadat</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concrete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afspraken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over</w:t>
      </w:r>
      <w:proofErr w:type="spellEnd"/>
      <w:r w:rsidRPr="00443438">
        <w:rPr>
          <w:rFonts w:ascii="Times New Roman" w:hAnsi="Times New Roman" w:cs="Times New Roman"/>
        </w:rPr>
        <w:t xml:space="preserve"> de IP van de </w:t>
      </w:r>
      <w:proofErr w:type="spellStart"/>
      <w:r w:rsidRPr="00443438">
        <w:rPr>
          <w:rFonts w:ascii="Times New Roman" w:hAnsi="Times New Roman" w:cs="Times New Roman"/>
        </w:rPr>
        <w:t>configurator</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zijn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gemaakt</w:t>
      </w:r>
      <w:proofErr w:type="spellEnd"/>
      <w:r w:rsidRPr="00443438">
        <w:rPr>
          <w:rFonts w:ascii="Times New Roman" w:hAnsi="Times New Roman" w:cs="Times New Roman"/>
        </w:rPr>
        <w:t xml:space="preserve">. </w:t>
      </w:r>
    </w:p>
  </w:comment>
  <w:comment w:id="1" w:author="KPMG LAW Belgium" w:date="2022-03-21T12:25:00Z" w:initials="KPMG">
    <w:p w14:paraId="4241FE83" w14:textId="396FD462" w:rsidR="00675E85" w:rsidRPr="00443438" w:rsidRDefault="00675E85">
      <w:pPr>
        <w:pStyle w:val="CommentText"/>
        <w:rPr>
          <w:rFonts w:ascii="Times New Roman" w:hAnsi="Times New Roman" w:cs="Times New Roman"/>
        </w:rPr>
      </w:pPr>
      <w:r>
        <w:rPr>
          <w:rStyle w:val="CommentReference"/>
        </w:rPr>
        <w:annotationRef/>
      </w:r>
      <w:proofErr w:type="spellStart"/>
      <w:r w:rsidRPr="00443438">
        <w:rPr>
          <w:rFonts w:ascii="Times New Roman" w:hAnsi="Times New Roman" w:cs="Times New Roman"/>
        </w:rPr>
        <w:t>Gelieve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een</w:t>
      </w:r>
      <w:proofErr w:type="spellEnd"/>
      <w:r w:rsidRPr="00443438">
        <w:rPr>
          <w:rFonts w:ascii="Times New Roman" w:hAnsi="Times New Roman" w:cs="Times New Roman"/>
        </w:rPr>
        <w:t xml:space="preserve"> link </w:t>
      </w:r>
      <w:proofErr w:type="spellStart"/>
      <w:r w:rsidRPr="00443438">
        <w:rPr>
          <w:rFonts w:ascii="Times New Roman" w:hAnsi="Times New Roman" w:cs="Times New Roman"/>
        </w:rPr>
        <w:t>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voorzien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naar</w:t>
      </w:r>
      <w:proofErr w:type="spellEnd"/>
      <w:r w:rsidRPr="00443438">
        <w:rPr>
          <w:rFonts w:ascii="Times New Roman" w:hAnsi="Times New Roman" w:cs="Times New Roman"/>
        </w:rPr>
        <w:t xml:space="preserve"> de </w:t>
      </w:r>
      <w:proofErr w:type="spellStart"/>
      <w:r w:rsidRPr="00443438">
        <w:rPr>
          <w:rFonts w:ascii="Times New Roman" w:hAnsi="Times New Roman" w:cs="Times New Roman"/>
        </w:rPr>
        <w:t>privacy</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policy</w:t>
      </w:r>
      <w:proofErr w:type="spellEnd"/>
      <w:r w:rsidRPr="00443438">
        <w:rPr>
          <w:rFonts w:ascii="Times New Roman" w:hAnsi="Times New Roman" w:cs="Times New Roman"/>
        </w:rPr>
        <w:t xml:space="preserve"> die </w:t>
      </w:r>
      <w:proofErr w:type="spellStart"/>
      <w:r w:rsidRPr="00443438">
        <w:rPr>
          <w:rFonts w:ascii="Times New Roman" w:hAnsi="Times New Roman" w:cs="Times New Roman"/>
        </w:rPr>
        <w:t>we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jullie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bezorgen</w:t>
      </w:r>
      <w:proofErr w:type="spellEnd"/>
      <w:r w:rsidR="00443438" w:rsidRPr="00443438">
        <w:rPr>
          <w:rFonts w:ascii="Times New Roman" w:hAnsi="Times New Roman" w:cs="Times New Roman"/>
        </w:rPr>
        <w:t>.</w:t>
      </w:r>
    </w:p>
  </w:comment>
  <w:comment w:id="2" w:author="KPMG LAW Belgium" w:date="2022-03-21T12:25:00Z" w:initials="KPMG">
    <w:p w14:paraId="130FB8BB" w14:textId="1233972F" w:rsidR="00675E85" w:rsidRPr="00443438" w:rsidRDefault="00675E85">
      <w:pPr>
        <w:pStyle w:val="CommentText"/>
        <w:rPr>
          <w:rFonts w:ascii="Times New Roman" w:hAnsi="Times New Roman" w:cs="Times New Roman"/>
        </w:rPr>
      </w:pPr>
      <w:r>
        <w:rPr>
          <w:rStyle w:val="CommentReference"/>
        </w:rPr>
        <w:annotationRef/>
      </w:r>
      <w:proofErr w:type="spellStart"/>
      <w:r w:rsidRPr="00443438">
        <w:rPr>
          <w:rFonts w:ascii="Times New Roman" w:hAnsi="Times New Roman" w:cs="Times New Roman"/>
        </w:rPr>
        <w:t>Gelieve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een</w:t>
      </w:r>
      <w:proofErr w:type="spellEnd"/>
      <w:r w:rsidRPr="00443438">
        <w:rPr>
          <w:rFonts w:ascii="Times New Roman" w:hAnsi="Times New Roman" w:cs="Times New Roman"/>
        </w:rPr>
        <w:t xml:space="preserve"> link </w:t>
      </w:r>
      <w:proofErr w:type="spellStart"/>
      <w:r w:rsidRPr="00443438">
        <w:rPr>
          <w:rFonts w:ascii="Times New Roman" w:hAnsi="Times New Roman" w:cs="Times New Roman"/>
        </w:rPr>
        <w:t>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voorzien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naar</w:t>
      </w:r>
      <w:proofErr w:type="spellEnd"/>
      <w:r w:rsidRPr="00443438">
        <w:rPr>
          <w:rFonts w:ascii="Times New Roman" w:hAnsi="Times New Roman" w:cs="Times New Roman"/>
        </w:rPr>
        <w:t xml:space="preserve"> de </w:t>
      </w:r>
      <w:proofErr w:type="spellStart"/>
      <w:r w:rsidRPr="00443438">
        <w:rPr>
          <w:rFonts w:ascii="Times New Roman" w:hAnsi="Times New Roman" w:cs="Times New Roman"/>
        </w:rPr>
        <w:t>cookiepolicy</w:t>
      </w:r>
      <w:proofErr w:type="spellEnd"/>
      <w:r w:rsidRPr="00443438">
        <w:rPr>
          <w:rFonts w:ascii="Times New Roman" w:hAnsi="Times New Roman" w:cs="Times New Roman"/>
        </w:rPr>
        <w:t xml:space="preserve"> die </w:t>
      </w:r>
      <w:proofErr w:type="spellStart"/>
      <w:r w:rsidRPr="00443438">
        <w:rPr>
          <w:rFonts w:ascii="Times New Roman" w:hAnsi="Times New Roman" w:cs="Times New Roman"/>
        </w:rPr>
        <w:t>we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jullie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bezorgen</w:t>
      </w:r>
      <w:proofErr w:type="spellEnd"/>
      <w:r w:rsidR="00443438" w:rsidRPr="00443438">
        <w:rPr>
          <w:rFonts w:ascii="Times New Roman" w:hAnsi="Times New Roman" w:cs="Times New Roman"/>
        </w:rPr>
        <w:t>.</w:t>
      </w:r>
    </w:p>
  </w:comment>
  <w:comment w:id="3" w:author="KPMG LAW Belgium" w:date="2022-03-22T12:32:00Z" w:initials="KPMG">
    <w:p w14:paraId="4188B6A9" w14:textId="372346C9" w:rsidR="00562BD0" w:rsidRPr="00443438" w:rsidRDefault="00562BD0">
      <w:pPr>
        <w:pStyle w:val="CommentText"/>
        <w:rPr>
          <w:rFonts w:ascii="Times New Roman" w:hAnsi="Times New Roman" w:cs="Times New Roman"/>
        </w:rPr>
      </w:pPr>
      <w:r>
        <w:rPr>
          <w:rStyle w:val="CommentReference"/>
        </w:rPr>
        <w:annotationRef/>
      </w:r>
      <w:proofErr w:type="spellStart"/>
      <w:r w:rsidRPr="00443438">
        <w:rPr>
          <w:rFonts w:ascii="Times New Roman" w:hAnsi="Times New Roman" w:cs="Times New Roman"/>
        </w:rPr>
        <w:t>Voor</w:t>
      </w:r>
      <w:proofErr w:type="spellEnd"/>
      <w:r w:rsidRPr="00443438">
        <w:rPr>
          <w:rFonts w:ascii="Times New Roman" w:hAnsi="Times New Roman" w:cs="Times New Roman"/>
        </w:rPr>
        <w:t xml:space="preserve"> de </w:t>
      </w:r>
      <w:proofErr w:type="spellStart"/>
      <w:r w:rsidRPr="00443438">
        <w:rPr>
          <w:rFonts w:ascii="Times New Roman" w:hAnsi="Times New Roman" w:cs="Times New Roman"/>
        </w:rPr>
        <w:t>tegenstelbaarheid</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is</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het</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aangewezen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om</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bij</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fundamentele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wijzigingen</w:t>
      </w:r>
      <w:proofErr w:type="spellEnd"/>
      <w:r w:rsidRPr="00443438">
        <w:rPr>
          <w:rFonts w:ascii="Times New Roman" w:hAnsi="Times New Roman" w:cs="Times New Roman"/>
        </w:rPr>
        <w:t xml:space="preserve"> van </w:t>
      </w:r>
      <w:proofErr w:type="spellStart"/>
      <w:r w:rsidRPr="00443438">
        <w:rPr>
          <w:rFonts w:ascii="Times New Roman" w:hAnsi="Times New Roman" w:cs="Times New Roman"/>
        </w:rPr>
        <w:t>deze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disclaimer</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een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banner</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op</w:t>
      </w:r>
      <w:proofErr w:type="spellEnd"/>
      <w:r w:rsidRPr="00443438">
        <w:rPr>
          <w:rFonts w:ascii="Times New Roman" w:hAnsi="Times New Roman" w:cs="Times New Roman"/>
        </w:rPr>
        <w:t xml:space="preserve"> de </w:t>
      </w:r>
      <w:proofErr w:type="spellStart"/>
      <w:r w:rsidRPr="00443438">
        <w:rPr>
          <w:rFonts w:ascii="Times New Roman" w:hAnsi="Times New Roman" w:cs="Times New Roman"/>
        </w:rPr>
        <w:t>website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plaatsen</w:t>
      </w:r>
      <w:proofErr w:type="spellEnd"/>
      <w:r w:rsidRPr="00443438">
        <w:rPr>
          <w:rFonts w:ascii="Times New Roman" w:hAnsi="Times New Roman" w:cs="Times New Roman"/>
        </w:rPr>
        <w:t xml:space="preserve"> die de </w:t>
      </w:r>
      <w:proofErr w:type="spellStart"/>
      <w:r w:rsidRPr="00443438">
        <w:rPr>
          <w:rFonts w:ascii="Times New Roman" w:hAnsi="Times New Roman" w:cs="Times New Roman"/>
        </w:rPr>
        <w:t>bezoeker</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hiervan</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op</w:t>
      </w:r>
      <w:proofErr w:type="spellEnd"/>
      <w:r w:rsidRPr="00443438">
        <w:rPr>
          <w:rFonts w:ascii="Times New Roman" w:hAnsi="Times New Roman" w:cs="Times New Roman"/>
        </w:rPr>
        <w:t xml:space="preserve"> de </w:t>
      </w:r>
      <w:proofErr w:type="spellStart"/>
      <w:r w:rsidRPr="00443438">
        <w:rPr>
          <w:rFonts w:ascii="Times New Roman" w:hAnsi="Times New Roman" w:cs="Times New Roman"/>
        </w:rPr>
        <w:t>hoogte</w:t>
      </w:r>
      <w:proofErr w:type="spellEnd"/>
      <w:r w:rsidRPr="00443438">
        <w:rPr>
          <w:rFonts w:ascii="Times New Roman" w:hAnsi="Times New Roman" w:cs="Times New Roman"/>
        </w:rPr>
        <w:t xml:space="preserve"> </w:t>
      </w:r>
      <w:proofErr w:type="spellStart"/>
      <w:r w:rsidRPr="00443438">
        <w:rPr>
          <w:rFonts w:ascii="Times New Roman" w:hAnsi="Times New Roman" w:cs="Times New Roman"/>
        </w:rPr>
        <w:t>brengt</w:t>
      </w:r>
      <w:proofErr w:type="spellEnd"/>
      <w:r w:rsidRPr="00443438">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CFA12D" w15:done="0"/>
  <w15:commentEx w15:paraId="4241FE83" w15:done="0"/>
  <w15:commentEx w15:paraId="130FB8BB" w15:done="0"/>
  <w15:commentEx w15:paraId="4188B6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43F5E" w16cex:dateUtc="2022-03-22T11:28:00Z"/>
  <w16cex:commentExtensible w16cex:durableId="25E2ED27" w16cex:dateUtc="2022-03-21T11:25:00Z"/>
  <w16cex:commentExtensible w16cex:durableId="25E2ED40" w16cex:dateUtc="2022-03-21T11:25:00Z"/>
  <w16cex:commentExtensible w16cex:durableId="25E44056" w16cex:dateUtc="2022-03-22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FA12D" w16cid:durableId="25E43F5E"/>
  <w16cid:commentId w16cid:paraId="4241FE83" w16cid:durableId="25E2ED27"/>
  <w16cid:commentId w16cid:paraId="130FB8BB" w16cid:durableId="25E2ED40"/>
  <w16cid:commentId w16cid:paraId="4188B6A9" w16cid:durableId="25E440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4052"/>
    <w:multiLevelType w:val="multilevel"/>
    <w:tmpl w:val="825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44C2E"/>
    <w:multiLevelType w:val="multilevel"/>
    <w:tmpl w:val="85300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A54E3"/>
    <w:multiLevelType w:val="multilevel"/>
    <w:tmpl w:val="A60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2B0C"/>
    <w:multiLevelType w:val="multilevel"/>
    <w:tmpl w:val="62F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27C3"/>
    <w:multiLevelType w:val="multilevel"/>
    <w:tmpl w:val="4DAAE7DE"/>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336"/>
        </w:tabs>
        <w:ind w:left="336" w:hanging="360"/>
      </w:pPr>
      <w:rPr>
        <w:rFonts w:ascii="Courier New" w:hAnsi="Courier New" w:hint="default"/>
        <w:sz w:val="20"/>
      </w:rPr>
    </w:lvl>
    <w:lvl w:ilvl="2" w:tentative="1">
      <w:start w:val="1"/>
      <w:numFmt w:val="bullet"/>
      <w:lvlText w:val=""/>
      <w:lvlJc w:val="left"/>
      <w:pPr>
        <w:tabs>
          <w:tab w:val="num" w:pos="1056"/>
        </w:tabs>
        <w:ind w:left="1056" w:hanging="360"/>
      </w:pPr>
      <w:rPr>
        <w:rFonts w:ascii="Wingdings" w:hAnsi="Wingdings" w:hint="default"/>
        <w:sz w:val="20"/>
      </w:rPr>
    </w:lvl>
    <w:lvl w:ilvl="3" w:tentative="1">
      <w:start w:val="1"/>
      <w:numFmt w:val="bullet"/>
      <w:lvlText w:val=""/>
      <w:lvlJc w:val="left"/>
      <w:pPr>
        <w:tabs>
          <w:tab w:val="num" w:pos="1776"/>
        </w:tabs>
        <w:ind w:left="1776" w:hanging="360"/>
      </w:pPr>
      <w:rPr>
        <w:rFonts w:ascii="Wingdings" w:hAnsi="Wingdings" w:hint="default"/>
        <w:sz w:val="20"/>
      </w:rPr>
    </w:lvl>
    <w:lvl w:ilvl="4" w:tentative="1">
      <w:start w:val="1"/>
      <w:numFmt w:val="bullet"/>
      <w:lvlText w:val=""/>
      <w:lvlJc w:val="left"/>
      <w:pPr>
        <w:tabs>
          <w:tab w:val="num" w:pos="2496"/>
        </w:tabs>
        <w:ind w:left="2496" w:hanging="360"/>
      </w:pPr>
      <w:rPr>
        <w:rFonts w:ascii="Wingdings" w:hAnsi="Wingdings" w:hint="default"/>
        <w:sz w:val="20"/>
      </w:rPr>
    </w:lvl>
    <w:lvl w:ilvl="5" w:tentative="1">
      <w:start w:val="1"/>
      <w:numFmt w:val="bullet"/>
      <w:lvlText w:val=""/>
      <w:lvlJc w:val="left"/>
      <w:pPr>
        <w:tabs>
          <w:tab w:val="num" w:pos="3216"/>
        </w:tabs>
        <w:ind w:left="3216" w:hanging="360"/>
      </w:pPr>
      <w:rPr>
        <w:rFonts w:ascii="Wingdings" w:hAnsi="Wingdings" w:hint="default"/>
        <w:sz w:val="20"/>
      </w:rPr>
    </w:lvl>
    <w:lvl w:ilvl="6" w:tentative="1">
      <w:start w:val="1"/>
      <w:numFmt w:val="bullet"/>
      <w:lvlText w:val=""/>
      <w:lvlJc w:val="left"/>
      <w:pPr>
        <w:tabs>
          <w:tab w:val="num" w:pos="3936"/>
        </w:tabs>
        <w:ind w:left="3936" w:hanging="360"/>
      </w:pPr>
      <w:rPr>
        <w:rFonts w:ascii="Wingdings" w:hAnsi="Wingdings" w:hint="default"/>
        <w:sz w:val="20"/>
      </w:rPr>
    </w:lvl>
    <w:lvl w:ilvl="7" w:tentative="1">
      <w:start w:val="1"/>
      <w:numFmt w:val="bullet"/>
      <w:lvlText w:val=""/>
      <w:lvlJc w:val="left"/>
      <w:pPr>
        <w:tabs>
          <w:tab w:val="num" w:pos="4656"/>
        </w:tabs>
        <w:ind w:left="4656" w:hanging="360"/>
      </w:pPr>
      <w:rPr>
        <w:rFonts w:ascii="Wingdings" w:hAnsi="Wingdings" w:hint="default"/>
        <w:sz w:val="20"/>
      </w:rPr>
    </w:lvl>
    <w:lvl w:ilvl="8" w:tentative="1">
      <w:start w:val="1"/>
      <w:numFmt w:val="bullet"/>
      <w:lvlText w:val=""/>
      <w:lvlJc w:val="left"/>
      <w:pPr>
        <w:tabs>
          <w:tab w:val="num" w:pos="5376"/>
        </w:tabs>
        <w:ind w:left="5376"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PMG LAW Belgium">
    <w15:presenceInfo w15:providerId="None" w15:userId="KPMG LAW Belg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BF"/>
    <w:rsid w:val="000017C2"/>
    <w:rsid w:val="000A1F90"/>
    <w:rsid w:val="00161B0A"/>
    <w:rsid w:val="00175DF7"/>
    <w:rsid w:val="00243733"/>
    <w:rsid w:val="00413C4B"/>
    <w:rsid w:val="00443438"/>
    <w:rsid w:val="00562BD0"/>
    <w:rsid w:val="00612721"/>
    <w:rsid w:val="00675E85"/>
    <w:rsid w:val="009833A4"/>
    <w:rsid w:val="00A30362"/>
    <w:rsid w:val="00A81BB6"/>
    <w:rsid w:val="00AB38B4"/>
    <w:rsid w:val="00AC42A0"/>
    <w:rsid w:val="00AF4B9E"/>
    <w:rsid w:val="00B447B3"/>
    <w:rsid w:val="00B63EBF"/>
    <w:rsid w:val="00BC05FB"/>
    <w:rsid w:val="00D27BC5"/>
    <w:rsid w:val="00E63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DACD"/>
  <w15:chartTrackingRefBased/>
  <w15:docId w15:val="{CC79F109-4EAF-49F3-9D80-A4773123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7BC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D27BC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BC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2Char">
    <w:name w:val="Heading 2 Char"/>
    <w:basedOn w:val="DefaultParagraphFont"/>
    <w:link w:val="Heading2"/>
    <w:uiPriority w:val="9"/>
    <w:rsid w:val="00D27BC5"/>
    <w:rPr>
      <w:rFonts w:ascii="Times New Roman" w:eastAsia="Times New Roman" w:hAnsi="Times New Roman" w:cs="Times New Roman"/>
      <w:b/>
      <w:bCs/>
      <w:sz w:val="36"/>
      <w:szCs w:val="36"/>
      <w:lang w:val="de-DE" w:eastAsia="nl-BE"/>
    </w:rPr>
  </w:style>
  <w:style w:type="character" w:customStyle="1" w:styleId="Heading3Char">
    <w:name w:val="Heading 3 Char"/>
    <w:basedOn w:val="DefaultParagraphFont"/>
    <w:link w:val="Heading3"/>
    <w:uiPriority w:val="9"/>
    <w:rsid w:val="00D27BC5"/>
    <w:rPr>
      <w:rFonts w:ascii="Times New Roman" w:eastAsia="Times New Roman" w:hAnsi="Times New Roman" w:cs="Times New Roman"/>
      <w:b/>
      <w:bCs/>
      <w:sz w:val="27"/>
      <w:szCs w:val="27"/>
      <w:lang w:val="de-DE" w:eastAsia="nl-BE"/>
    </w:rPr>
  </w:style>
  <w:style w:type="character" w:styleId="Hyperlink">
    <w:name w:val="Hyperlink"/>
    <w:basedOn w:val="DefaultParagraphFont"/>
    <w:uiPriority w:val="99"/>
    <w:semiHidden/>
    <w:unhideWhenUsed/>
    <w:rsid w:val="00D27BC5"/>
    <w:rPr>
      <w:color w:val="0000FF"/>
      <w:u w:val="single"/>
    </w:rPr>
  </w:style>
  <w:style w:type="paragraph" w:customStyle="1" w:styleId="chrome">
    <w:name w:val="chrome"/>
    <w:basedOn w:val="Normal"/>
    <w:rsid w:val="002437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9833A4"/>
    <w:rPr>
      <w:sz w:val="16"/>
      <w:szCs w:val="16"/>
    </w:rPr>
  </w:style>
  <w:style w:type="paragraph" w:styleId="CommentText">
    <w:name w:val="annotation text"/>
    <w:basedOn w:val="Normal"/>
    <w:link w:val="CommentTextChar"/>
    <w:uiPriority w:val="99"/>
    <w:semiHidden/>
    <w:unhideWhenUsed/>
    <w:rsid w:val="009833A4"/>
    <w:pPr>
      <w:spacing w:line="240" w:lineRule="auto"/>
    </w:pPr>
    <w:rPr>
      <w:sz w:val="20"/>
      <w:szCs w:val="20"/>
    </w:rPr>
  </w:style>
  <w:style w:type="character" w:customStyle="1" w:styleId="CommentTextChar">
    <w:name w:val="Comment Text Char"/>
    <w:basedOn w:val="DefaultParagraphFont"/>
    <w:link w:val="CommentText"/>
    <w:uiPriority w:val="99"/>
    <w:semiHidden/>
    <w:rsid w:val="009833A4"/>
    <w:rPr>
      <w:sz w:val="20"/>
      <w:szCs w:val="20"/>
    </w:rPr>
  </w:style>
  <w:style w:type="paragraph" w:styleId="CommentSubject">
    <w:name w:val="annotation subject"/>
    <w:basedOn w:val="CommentText"/>
    <w:next w:val="CommentText"/>
    <w:link w:val="CommentSubjectChar"/>
    <w:uiPriority w:val="99"/>
    <w:semiHidden/>
    <w:unhideWhenUsed/>
    <w:rsid w:val="009833A4"/>
    <w:rPr>
      <w:b/>
      <w:bCs/>
    </w:rPr>
  </w:style>
  <w:style w:type="character" w:customStyle="1" w:styleId="CommentSubjectChar">
    <w:name w:val="Comment Subject Char"/>
    <w:basedOn w:val="CommentTextChar"/>
    <w:link w:val="CommentSubject"/>
    <w:uiPriority w:val="99"/>
    <w:semiHidden/>
    <w:rsid w:val="00983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4703">
      <w:bodyDiv w:val="1"/>
      <w:marLeft w:val="0"/>
      <w:marRight w:val="0"/>
      <w:marTop w:val="0"/>
      <w:marBottom w:val="0"/>
      <w:divBdr>
        <w:top w:val="none" w:sz="0" w:space="0" w:color="auto"/>
        <w:left w:val="none" w:sz="0" w:space="0" w:color="auto"/>
        <w:bottom w:val="none" w:sz="0" w:space="0" w:color="auto"/>
        <w:right w:val="none" w:sz="0" w:space="0" w:color="auto"/>
      </w:divBdr>
    </w:div>
    <w:div w:id="534078577">
      <w:bodyDiv w:val="1"/>
      <w:marLeft w:val="0"/>
      <w:marRight w:val="0"/>
      <w:marTop w:val="0"/>
      <w:marBottom w:val="0"/>
      <w:divBdr>
        <w:top w:val="none" w:sz="0" w:space="0" w:color="auto"/>
        <w:left w:val="none" w:sz="0" w:space="0" w:color="auto"/>
        <w:bottom w:val="none" w:sz="0" w:space="0" w:color="auto"/>
        <w:right w:val="none" w:sz="0" w:space="0" w:color="auto"/>
      </w:divBdr>
    </w:div>
    <w:div w:id="1047871752">
      <w:bodyDiv w:val="1"/>
      <w:marLeft w:val="0"/>
      <w:marRight w:val="0"/>
      <w:marTop w:val="0"/>
      <w:marBottom w:val="0"/>
      <w:divBdr>
        <w:top w:val="none" w:sz="0" w:space="0" w:color="auto"/>
        <w:left w:val="none" w:sz="0" w:space="0" w:color="auto"/>
        <w:bottom w:val="none" w:sz="0" w:space="0" w:color="auto"/>
        <w:right w:val="none" w:sz="0" w:space="0" w:color="auto"/>
      </w:divBdr>
    </w:div>
    <w:div w:id="1079601124">
      <w:bodyDiv w:val="1"/>
      <w:marLeft w:val="0"/>
      <w:marRight w:val="0"/>
      <w:marTop w:val="0"/>
      <w:marBottom w:val="0"/>
      <w:divBdr>
        <w:top w:val="none" w:sz="0" w:space="0" w:color="auto"/>
        <w:left w:val="none" w:sz="0" w:space="0" w:color="auto"/>
        <w:bottom w:val="none" w:sz="0" w:space="0" w:color="auto"/>
        <w:right w:val="none" w:sz="0" w:space="0" w:color="auto"/>
      </w:divBdr>
    </w:div>
    <w:div w:id="1758019358">
      <w:bodyDiv w:val="1"/>
      <w:marLeft w:val="0"/>
      <w:marRight w:val="0"/>
      <w:marTop w:val="0"/>
      <w:marBottom w:val="0"/>
      <w:divBdr>
        <w:top w:val="none" w:sz="0" w:space="0" w:color="auto"/>
        <w:left w:val="none" w:sz="0" w:space="0" w:color="auto"/>
        <w:bottom w:val="none" w:sz="0" w:space="0" w:color="auto"/>
        <w:right w:val="none" w:sz="0" w:space="0" w:color="auto"/>
      </w:divBdr>
    </w:div>
    <w:div w:id="21394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CEEC5-E332-454E-90E5-CC8593345F06}"/>
</file>

<file path=customXml/itemProps2.xml><?xml version="1.0" encoding="utf-8"?>
<ds:datastoreItem xmlns:ds="http://schemas.openxmlformats.org/officeDocument/2006/customXml" ds:itemID="{B03C26BC-907D-476D-96C3-3789252FBF22}"/>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LAW Belgium</dc:creator>
  <cp:keywords/>
  <dc:description/>
  <cp:lastModifiedBy>KPMG Law</cp:lastModifiedBy>
  <cp:revision>5</cp:revision>
  <dcterms:created xsi:type="dcterms:W3CDTF">2022-03-22T11:29:00Z</dcterms:created>
  <dcterms:modified xsi:type="dcterms:W3CDTF">2022-06-10T01:55:00Z</dcterms:modified>
</cp:coreProperties>
</file>